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E5" w:rsidRPr="00E00DE5" w:rsidRDefault="00E00DE5" w:rsidP="00E00DE5">
      <w:pPr>
        <w:autoSpaceDE w:val="0"/>
        <w:autoSpaceDN w:val="0"/>
        <w:adjustRightInd w:val="0"/>
        <w:spacing w:before="0" w:beforeAutospacing="0" w:after="0" w:afterAutospacing="0"/>
        <w:jc w:val="left"/>
        <w:rPr>
          <w:rFonts w:ascii="Arial" w:hAnsi="Arial" w:cs="Arial"/>
          <w:color w:val="000000"/>
          <w:sz w:val="24"/>
          <w:szCs w:val="24"/>
          <w:lang w:eastAsia="de-DE"/>
        </w:rPr>
      </w:pPr>
    </w:p>
    <w:p w:rsidR="00E00DE5" w:rsidRPr="00E00DE5" w:rsidRDefault="00E00DE5" w:rsidP="00E00DE5">
      <w:pPr>
        <w:autoSpaceDE w:val="0"/>
        <w:autoSpaceDN w:val="0"/>
        <w:adjustRightInd w:val="0"/>
        <w:spacing w:before="0" w:beforeAutospacing="0" w:after="0" w:afterAutospacing="0"/>
        <w:rPr>
          <w:rFonts w:ascii="Arial" w:hAnsi="Arial" w:cs="Arial"/>
          <w:color w:val="000000"/>
          <w:sz w:val="28"/>
          <w:szCs w:val="28"/>
          <w:lang w:val="en-US" w:eastAsia="de-DE"/>
        </w:rPr>
      </w:pPr>
      <w:r w:rsidRPr="00E00DE5">
        <w:rPr>
          <w:rFonts w:ascii="Arial" w:hAnsi="Arial" w:cs="Arial"/>
          <w:sz w:val="24"/>
          <w:szCs w:val="24"/>
          <w:lang w:val="en-US" w:eastAsia="de-DE"/>
        </w:rPr>
        <w:t xml:space="preserve"> </w:t>
      </w:r>
      <w:r w:rsidRPr="00E00DE5">
        <w:rPr>
          <w:rFonts w:ascii="Arial" w:hAnsi="Arial" w:cs="Arial"/>
          <w:b/>
          <w:bCs/>
          <w:color w:val="000000"/>
          <w:sz w:val="28"/>
          <w:szCs w:val="28"/>
          <w:lang w:val="en-US" w:eastAsia="de-DE"/>
        </w:rPr>
        <w:t xml:space="preserve">DEPARTMENT FOR TRANSPORT </w:t>
      </w:r>
    </w:p>
    <w:p w:rsidR="00E00DE5" w:rsidRPr="00E00DE5" w:rsidRDefault="00E00DE5" w:rsidP="00E00DE5">
      <w:pPr>
        <w:autoSpaceDE w:val="0"/>
        <w:autoSpaceDN w:val="0"/>
        <w:adjustRightInd w:val="0"/>
        <w:spacing w:before="0" w:beforeAutospacing="0" w:after="0" w:afterAutospacing="0"/>
        <w:rPr>
          <w:rFonts w:ascii="Arial" w:hAnsi="Arial" w:cs="Arial"/>
          <w:color w:val="000000"/>
          <w:sz w:val="28"/>
          <w:szCs w:val="28"/>
          <w:lang w:val="en-US" w:eastAsia="de-DE"/>
        </w:rPr>
      </w:pPr>
      <w:r w:rsidRPr="00E00DE5">
        <w:rPr>
          <w:rFonts w:ascii="Arial" w:hAnsi="Arial" w:cs="Arial"/>
          <w:b/>
          <w:bCs/>
          <w:color w:val="000000"/>
          <w:sz w:val="28"/>
          <w:szCs w:val="28"/>
          <w:lang w:val="en-US" w:eastAsia="de-DE"/>
        </w:rPr>
        <w:t xml:space="preserve">WORKING PARTY ON THE TRANSPORT OF DANGEROUS GOODS </w:t>
      </w:r>
    </w:p>
    <w:p w:rsidR="00E00DE5" w:rsidRPr="00E00DE5" w:rsidRDefault="00E00DE5" w:rsidP="00E00DE5">
      <w:pPr>
        <w:autoSpaceDE w:val="0"/>
        <w:autoSpaceDN w:val="0"/>
        <w:adjustRightInd w:val="0"/>
        <w:spacing w:before="0" w:beforeAutospacing="0" w:after="0" w:afterAutospacing="0"/>
        <w:rPr>
          <w:rFonts w:ascii="Arial" w:hAnsi="Arial" w:cs="Arial"/>
          <w:color w:val="000000"/>
          <w:sz w:val="28"/>
          <w:szCs w:val="28"/>
          <w:lang w:val="en-US" w:eastAsia="de-DE"/>
        </w:rPr>
      </w:pPr>
      <w:r w:rsidRPr="00E00DE5">
        <w:rPr>
          <w:rFonts w:ascii="Arial" w:hAnsi="Arial" w:cs="Arial"/>
          <w:b/>
          <w:bCs/>
          <w:color w:val="000000"/>
          <w:sz w:val="28"/>
          <w:szCs w:val="28"/>
          <w:lang w:val="en-US" w:eastAsia="de-DE"/>
        </w:rPr>
        <w:t xml:space="preserve">CLOSED VEHICLE - INTERPRETATION </w:t>
      </w:r>
    </w:p>
    <w:p w:rsidR="00E00DE5" w:rsidRPr="00E00DE5" w:rsidRDefault="00E00DE5" w:rsidP="00E00DE5">
      <w:pPr>
        <w:autoSpaceDE w:val="0"/>
        <w:autoSpaceDN w:val="0"/>
        <w:adjustRightInd w:val="0"/>
        <w:spacing w:before="0" w:beforeAutospacing="0" w:after="0" w:afterAutospacing="0"/>
        <w:jc w:val="both"/>
        <w:rPr>
          <w:rFonts w:ascii="Verdana" w:hAnsi="Verdana" w:cs="Verdana"/>
          <w:color w:val="000000"/>
          <w:lang w:val="en-US" w:eastAsia="de-DE"/>
        </w:rPr>
      </w:pPr>
      <w:r w:rsidRPr="00E00DE5">
        <w:rPr>
          <w:rFonts w:ascii="Verdana" w:hAnsi="Verdana" w:cs="Verdana"/>
          <w:i/>
          <w:iCs/>
          <w:color w:val="000000"/>
          <w:lang w:val="en-US" w:eastAsia="de-DE"/>
        </w:rPr>
        <w:t xml:space="preserve">This guidance note should not be taken as a complete or definitive statement of the law. It is not intended as a substitute for detailed legal or other professional advice based on specific circumstances. The Department for Transport accepts no liability for any loss or damage caused by reliance on the contents of this guidance note. </w:t>
      </w:r>
    </w:p>
    <w:p w:rsidR="00E00DE5" w:rsidRPr="00E00DE5" w:rsidRDefault="00E00DE5" w:rsidP="00E00DE5">
      <w:pPr>
        <w:autoSpaceDE w:val="0"/>
        <w:autoSpaceDN w:val="0"/>
        <w:adjustRightInd w:val="0"/>
        <w:spacing w:before="0" w:beforeAutospacing="0" w:after="0" w:afterAutospacing="0"/>
        <w:jc w:val="both"/>
        <w:rPr>
          <w:rFonts w:ascii="Arial" w:hAnsi="Arial" w:cs="Arial"/>
          <w:color w:val="000000"/>
          <w:sz w:val="23"/>
          <w:szCs w:val="23"/>
          <w:lang w:val="en-US" w:eastAsia="de-DE"/>
        </w:rPr>
      </w:pPr>
      <w:r w:rsidRPr="00E00DE5">
        <w:rPr>
          <w:rFonts w:ascii="Arial" w:hAnsi="Arial" w:cs="Arial"/>
          <w:color w:val="000000"/>
          <w:sz w:val="23"/>
          <w:szCs w:val="23"/>
          <w:lang w:val="en-US" w:eastAsia="de-DE"/>
        </w:rPr>
        <w:t xml:space="preserve">A British haulier was subject to enforcement action on the Continent recently which has called into question the definition of the term </w:t>
      </w:r>
      <w:r w:rsidRPr="00E00DE5">
        <w:rPr>
          <w:rFonts w:ascii="Arial" w:hAnsi="Arial" w:cs="Arial"/>
          <w:b/>
          <w:bCs/>
          <w:color w:val="000000"/>
          <w:sz w:val="23"/>
          <w:szCs w:val="23"/>
          <w:lang w:val="en-US" w:eastAsia="de-DE"/>
        </w:rPr>
        <w:t xml:space="preserve">‘closed vehicle’ </w:t>
      </w:r>
      <w:r w:rsidRPr="00E00DE5">
        <w:rPr>
          <w:rFonts w:ascii="Arial" w:hAnsi="Arial" w:cs="Arial"/>
          <w:color w:val="000000"/>
          <w:sz w:val="23"/>
          <w:szCs w:val="23"/>
          <w:lang w:val="en-US" w:eastAsia="de-DE"/>
        </w:rPr>
        <w:t xml:space="preserve">in the context of the European Agreement Concerning the International Carriage of Dangerous Goods by Road (ADR). </w:t>
      </w:r>
    </w:p>
    <w:p w:rsidR="00E00DE5" w:rsidRPr="00E00DE5" w:rsidRDefault="00E00DE5" w:rsidP="00E00DE5">
      <w:pPr>
        <w:autoSpaceDE w:val="0"/>
        <w:autoSpaceDN w:val="0"/>
        <w:adjustRightInd w:val="0"/>
        <w:spacing w:before="0" w:beforeAutospacing="0" w:after="0" w:afterAutospacing="0"/>
        <w:jc w:val="both"/>
        <w:rPr>
          <w:rFonts w:ascii="Arial" w:hAnsi="Arial" w:cs="Arial"/>
          <w:color w:val="000000"/>
          <w:sz w:val="23"/>
          <w:szCs w:val="23"/>
          <w:lang w:val="en-US" w:eastAsia="de-DE"/>
        </w:rPr>
      </w:pPr>
      <w:r w:rsidRPr="00E00DE5">
        <w:rPr>
          <w:rFonts w:ascii="Arial" w:hAnsi="Arial" w:cs="Arial"/>
          <w:color w:val="000000"/>
          <w:sz w:val="23"/>
          <w:szCs w:val="23"/>
          <w:lang w:val="en-US" w:eastAsia="de-DE"/>
        </w:rPr>
        <w:t xml:space="preserve">There have been recent changes in the definitions in 1.2.1 for both the UN Model Regulations and the IMDG Code to the definition of </w:t>
      </w:r>
      <w:r w:rsidRPr="00E00DE5">
        <w:rPr>
          <w:rFonts w:ascii="Arial" w:hAnsi="Arial" w:cs="Arial"/>
          <w:b/>
          <w:bCs/>
          <w:color w:val="000000"/>
          <w:sz w:val="23"/>
          <w:szCs w:val="23"/>
          <w:lang w:val="en-US" w:eastAsia="de-DE"/>
        </w:rPr>
        <w:t>‘closed cargo transport unit’</w:t>
      </w:r>
      <w:r w:rsidRPr="00E00DE5">
        <w:rPr>
          <w:rFonts w:ascii="Arial" w:hAnsi="Arial" w:cs="Arial"/>
          <w:color w:val="000000"/>
          <w:sz w:val="23"/>
          <w:szCs w:val="23"/>
          <w:lang w:val="en-US" w:eastAsia="de-DE"/>
        </w:rPr>
        <w:t>. In both cases a second sentence in the definition makes clear that ‘</w:t>
      </w:r>
      <w:r w:rsidRPr="00E00DE5">
        <w:rPr>
          <w:rFonts w:ascii="Arial" w:hAnsi="Arial" w:cs="Arial"/>
          <w:b/>
          <w:bCs/>
          <w:color w:val="000000"/>
          <w:sz w:val="23"/>
          <w:szCs w:val="23"/>
          <w:lang w:val="en-US" w:eastAsia="de-DE"/>
        </w:rPr>
        <w:t xml:space="preserve">cargo transport units’ </w:t>
      </w:r>
      <w:r w:rsidRPr="00E00DE5">
        <w:rPr>
          <w:rFonts w:ascii="Arial" w:hAnsi="Arial" w:cs="Arial"/>
          <w:color w:val="000000"/>
          <w:sz w:val="23"/>
          <w:szCs w:val="23"/>
          <w:lang w:val="en-US" w:eastAsia="de-DE"/>
        </w:rPr>
        <w:t xml:space="preserve">(which include road vehicles) with fabric sides or tops are not considered to be closed cargo transport units. Because of this second sentence, road vehicles commonly referred to as ‘curtain-siders’ cannot meet the definition of a closed cargo transport unit included in the UN Model Regulations and the IMDG Code. </w:t>
      </w:r>
    </w:p>
    <w:p w:rsidR="00211614" w:rsidRPr="00E00DE5" w:rsidRDefault="00E00DE5" w:rsidP="00E00DE5">
      <w:pPr>
        <w:jc w:val="left"/>
        <w:rPr>
          <w:lang w:val="en-US"/>
        </w:rPr>
      </w:pPr>
      <w:r w:rsidRPr="00E00DE5">
        <w:rPr>
          <w:rFonts w:ascii="Arial" w:hAnsi="Arial" w:cs="Arial"/>
          <w:color w:val="000000"/>
          <w:sz w:val="23"/>
          <w:szCs w:val="23"/>
          <w:lang w:val="en-US" w:eastAsia="de-DE"/>
        </w:rPr>
        <w:t xml:space="preserve">However, ADR does not include a definition of a closed cargo transport unit. A </w:t>
      </w:r>
      <w:r w:rsidRPr="00E00DE5">
        <w:rPr>
          <w:rFonts w:ascii="Arial" w:hAnsi="Arial" w:cs="Arial"/>
          <w:b/>
          <w:bCs/>
          <w:color w:val="000000"/>
          <w:sz w:val="23"/>
          <w:szCs w:val="23"/>
          <w:lang w:val="en-US" w:eastAsia="de-DE"/>
        </w:rPr>
        <w:t xml:space="preserve">‘cargo transport unit’ </w:t>
      </w:r>
      <w:r w:rsidRPr="00E00DE5">
        <w:rPr>
          <w:rFonts w:ascii="Arial" w:hAnsi="Arial" w:cs="Arial"/>
          <w:color w:val="000000"/>
          <w:sz w:val="23"/>
          <w:szCs w:val="23"/>
          <w:lang w:val="en-US" w:eastAsia="de-DE"/>
        </w:rPr>
        <w:t xml:space="preserve">is defined in 1.2.1 and this includes a vehicle, but the definition of a </w:t>
      </w:r>
      <w:r w:rsidRPr="00E00DE5">
        <w:rPr>
          <w:rFonts w:ascii="Arial" w:hAnsi="Arial" w:cs="Arial"/>
          <w:b/>
          <w:bCs/>
          <w:color w:val="000000"/>
          <w:sz w:val="23"/>
          <w:szCs w:val="23"/>
          <w:lang w:val="en-US" w:eastAsia="de-DE"/>
        </w:rPr>
        <w:t xml:space="preserve">‘closed vehicle’ </w:t>
      </w:r>
      <w:r w:rsidRPr="00E00DE5">
        <w:rPr>
          <w:rFonts w:ascii="Arial" w:hAnsi="Arial" w:cs="Arial"/>
          <w:color w:val="000000"/>
          <w:sz w:val="23"/>
          <w:szCs w:val="23"/>
          <w:lang w:val="en-US" w:eastAsia="de-DE"/>
        </w:rPr>
        <w:t xml:space="preserve">simply means a vehicle having a body capable of being closed. The definition of a </w:t>
      </w:r>
      <w:r w:rsidRPr="00E00DE5">
        <w:rPr>
          <w:rFonts w:ascii="Arial" w:hAnsi="Arial" w:cs="Arial"/>
          <w:b/>
          <w:bCs/>
          <w:color w:val="000000"/>
          <w:sz w:val="23"/>
          <w:szCs w:val="23"/>
          <w:lang w:val="en-US" w:eastAsia="de-DE"/>
        </w:rPr>
        <w:t xml:space="preserve">‘closed container’ </w:t>
      </w:r>
      <w:r w:rsidRPr="00E00DE5">
        <w:rPr>
          <w:rFonts w:ascii="Arial" w:hAnsi="Arial" w:cs="Arial"/>
          <w:color w:val="000000"/>
          <w:sz w:val="23"/>
          <w:szCs w:val="23"/>
          <w:lang w:val="en-US" w:eastAsia="de-DE"/>
        </w:rPr>
        <w:t>means a totally closed container having a rigid roof, rigid side walls, rigid end walls and a floor. After consulting the UNECE Secretariat and consulting widely with other contracting parties to ADR, it is the view of the UK competent authority that a closed vehicle is analogous to a closed container and that a curtain-sider vehicle cannot, therefore, meet the current definition of an ADR closed vehicle.</w:t>
      </w:r>
      <w:bookmarkStart w:id="0" w:name="_GoBack"/>
      <w:bookmarkEnd w:id="0"/>
    </w:p>
    <w:sectPr w:rsidR="00211614" w:rsidRPr="00E00DE5" w:rsidSect="00CE7C84">
      <w:pgSz w:w="11906" w:h="16838" w:code="9"/>
      <w:pgMar w:top="1418" w:right="1418" w:bottom="1134" w:left="141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E5"/>
    <w:rsid w:val="00002C09"/>
    <w:rsid w:val="0001324E"/>
    <w:rsid w:val="00013AAA"/>
    <w:rsid w:val="00016BEB"/>
    <w:rsid w:val="0002423F"/>
    <w:rsid w:val="00026235"/>
    <w:rsid w:val="00027672"/>
    <w:rsid w:val="00043552"/>
    <w:rsid w:val="000446D1"/>
    <w:rsid w:val="00047847"/>
    <w:rsid w:val="00052D10"/>
    <w:rsid w:val="000556BF"/>
    <w:rsid w:val="000559BC"/>
    <w:rsid w:val="00064863"/>
    <w:rsid w:val="0008518B"/>
    <w:rsid w:val="00086A24"/>
    <w:rsid w:val="00090A88"/>
    <w:rsid w:val="000959BB"/>
    <w:rsid w:val="00097013"/>
    <w:rsid w:val="000A167B"/>
    <w:rsid w:val="000A3BEA"/>
    <w:rsid w:val="000A7F8F"/>
    <w:rsid w:val="000B2A6A"/>
    <w:rsid w:val="000B3548"/>
    <w:rsid w:val="000C1B35"/>
    <w:rsid w:val="000C6C02"/>
    <w:rsid w:val="000D1D1F"/>
    <w:rsid w:val="000E126E"/>
    <w:rsid w:val="000E1EE5"/>
    <w:rsid w:val="000E2672"/>
    <w:rsid w:val="000E54FE"/>
    <w:rsid w:val="000E75EE"/>
    <w:rsid w:val="000F4932"/>
    <w:rsid w:val="0011168A"/>
    <w:rsid w:val="001143DB"/>
    <w:rsid w:val="0011560A"/>
    <w:rsid w:val="00123F16"/>
    <w:rsid w:val="0012480B"/>
    <w:rsid w:val="00125271"/>
    <w:rsid w:val="00132888"/>
    <w:rsid w:val="0014492A"/>
    <w:rsid w:val="00162924"/>
    <w:rsid w:val="00165E18"/>
    <w:rsid w:val="00172438"/>
    <w:rsid w:val="001736F7"/>
    <w:rsid w:val="00183E3D"/>
    <w:rsid w:val="00190470"/>
    <w:rsid w:val="001962AB"/>
    <w:rsid w:val="001A2E3D"/>
    <w:rsid w:val="001A4AC9"/>
    <w:rsid w:val="001B0DBF"/>
    <w:rsid w:val="001B3D4D"/>
    <w:rsid w:val="001B3FB8"/>
    <w:rsid w:val="001B5AA9"/>
    <w:rsid w:val="001B5F23"/>
    <w:rsid w:val="001C1443"/>
    <w:rsid w:val="001C6D64"/>
    <w:rsid w:val="001D5359"/>
    <w:rsid w:val="001D6B05"/>
    <w:rsid w:val="001F046A"/>
    <w:rsid w:val="001F0A5F"/>
    <w:rsid w:val="00211614"/>
    <w:rsid w:val="002269CE"/>
    <w:rsid w:val="00237C31"/>
    <w:rsid w:val="00245CD7"/>
    <w:rsid w:val="00246575"/>
    <w:rsid w:val="00263A15"/>
    <w:rsid w:val="00275D16"/>
    <w:rsid w:val="00275E4A"/>
    <w:rsid w:val="0027786B"/>
    <w:rsid w:val="00277B6C"/>
    <w:rsid w:val="00286DE6"/>
    <w:rsid w:val="00292D95"/>
    <w:rsid w:val="002A34F6"/>
    <w:rsid w:val="002A56F4"/>
    <w:rsid w:val="002A5835"/>
    <w:rsid w:val="002B055F"/>
    <w:rsid w:val="002B745D"/>
    <w:rsid w:val="002C02BB"/>
    <w:rsid w:val="002C7ED3"/>
    <w:rsid w:val="002D1740"/>
    <w:rsid w:val="002D57EB"/>
    <w:rsid w:val="002D5CE2"/>
    <w:rsid w:val="002D5F4A"/>
    <w:rsid w:val="002D62DB"/>
    <w:rsid w:val="002D6F44"/>
    <w:rsid w:val="002D7329"/>
    <w:rsid w:val="002F69D1"/>
    <w:rsid w:val="00310A6D"/>
    <w:rsid w:val="00312D7D"/>
    <w:rsid w:val="003131BA"/>
    <w:rsid w:val="00315D8E"/>
    <w:rsid w:val="00324157"/>
    <w:rsid w:val="0033289F"/>
    <w:rsid w:val="003359AC"/>
    <w:rsid w:val="00336F9B"/>
    <w:rsid w:val="003409B4"/>
    <w:rsid w:val="00340B7C"/>
    <w:rsid w:val="00350D8B"/>
    <w:rsid w:val="00351C72"/>
    <w:rsid w:val="00357BE9"/>
    <w:rsid w:val="0038764A"/>
    <w:rsid w:val="0039798F"/>
    <w:rsid w:val="003A15AE"/>
    <w:rsid w:val="003A2DBB"/>
    <w:rsid w:val="003A4488"/>
    <w:rsid w:val="003B1C24"/>
    <w:rsid w:val="003B37A8"/>
    <w:rsid w:val="003B5BFB"/>
    <w:rsid w:val="003B74A4"/>
    <w:rsid w:val="003C217E"/>
    <w:rsid w:val="003E4708"/>
    <w:rsid w:val="003F30AF"/>
    <w:rsid w:val="003F7588"/>
    <w:rsid w:val="00406E26"/>
    <w:rsid w:val="00414A3C"/>
    <w:rsid w:val="004261DD"/>
    <w:rsid w:val="00443AEB"/>
    <w:rsid w:val="00443BEA"/>
    <w:rsid w:val="00443F8F"/>
    <w:rsid w:val="004540FA"/>
    <w:rsid w:val="0045539E"/>
    <w:rsid w:val="004556BC"/>
    <w:rsid w:val="004608D6"/>
    <w:rsid w:val="0046172E"/>
    <w:rsid w:val="00463D8F"/>
    <w:rsid w:val="0046551D"/>
    <w:rsid w:val="00466BC8"/>
    <w:rsid w:val="00471A02"/>
    <w:rsid w:val="00475430"/>
    <w:rsid w:val="00480079"/>
    <w:rsid w:val="00487CF7"/>
    <w:rsid w:val="0049226E"/>
    <w:rsid w:val="004A012F"/>
    <w:rsid w:val="004A2453"/>
    <w:rsid w:val="004A4015"/>
    <w:rsid w:val="004B1536"/>
    <w:rsid w:val="004B3F49"/>
    <w:rsid w:val="004B546D"/>
    <w:rsid w:val="004B582B"/>
    <w:rsid w:val="004B624B"/>
    <w:rsid w:val="004C26C7"/>
    <w:rsid w:val="004C4DE1"/>
    <w:rsid w:val="004C54BD"/>
    <w:rsid w:val="004D7359"/>
    <w:rsid w:val="004E5912"/>
    <w:rsid w:val="004F1C00"/>
    <w:rsid w:val="004F1E4A"/>
    <w:rsid w:val="004F4088"/>
    <w:rsid w:val="004F4775"/>
    <w:rsid w:val="004F517E"/>
    <w:rsid w:val="004F69CE"/>
    <w:rsid w:val="0051250B"/>
    <w:rsid w:val="00515A64"/>
    <w:rsid w:val="00520B56"/>
    <w:rsid w:val="005238AD"/>
    <w:rsid w:val="00524B87"/>
    <w:rsid w:val="0052615F"/>
    <w:rsid w:val="005325F8"/>
    <w:rsid w:val="00533E73"/>
    <w:rsid w:val="00537E57"/>
    <w:rsid w:val="005455FB"/>
    <w:rsid w:val="005518F8"/>
    <w:rsid w:val="00560618"/>
    <w:rsid w:val="00560C2E"/>
    <w:rsid w:val="005666C6"/>
    <w:rsid w:val="00572F3F"/>
    <w:rsid w:val="00573370"/>
    <w:rsid w:val="005858B3"/>
    <w:rsid w:val="00590B92"/>
    <w:rsid w:val="00594E14"/>
    <w:rsid w:val="00595B60"/>
    <w:rsid w:val="00595D62"/>
    <w:rsid w:val="00595E4C"/>
    <w:rsid w:val="005A3D45"/>
    <w:rsid w:val="005A7080"/>
    <w:rsid w:val="005B6B53"/>
    <w:rsid w:val="005C0DA9"/>
    <w:rsid w:val="005D5AFE"/>
    <w:rsid w:val="005E1BF6"/>
    <w:rsid w:val="005F33AC"/>
    <w:rsid w:val="005F57EA"/>
    <w:rsid w:val="00600F28"/>
    <w:rsid w:val="00602E01"/>
    <w:rsid w:val="006118AB"/>
    <w:rsid w:val="00626715"/>
    <w:rsid w:val="00630829"/>
    <w:rsid w:val="0063535E"/>
    <w:rsid w:val="00643279"/>
    <w:rsid w:val="00645D87"/>
    <w:rsid w:val="00650D9D"/>
    <w:rsid w:val="006669CE"/>
    <w:rsid w:val="00672EF1"/>
    <w:rsid w:val="00674CA5"/>
    <w:rsid w:val="00680DD3"/>
    <w:rsid w:val="00680E3E"/>
    <w:rsid w:val="00686B55"/>
    <w:rsid w:val="00687EB5"/>
    <w:rsid w:val="00696F53"/>
    <w:rsid w:val="006A63CD"/>
    <w:rsid w:val="006B484D"/>
    <w:rsid w:val="006B5D64"/>
    <w:rsid w:val="006C2D64"/>
    <w:rsid w:val="006C5A52"/>
    <w:rsid w:val="006C759B"/>
    <w:rsid w:val="006D17F3"/>
    <w:rsid w:val="006D7A4D"/>
    <w:rsid w:val="006E3AF1"/>
    <w:rsid w:val="006E6B13"/>
    <w:rsid w:val="006F2B53"/>
    <w:rsid w:val="00700023"/>
    <w:rsid w:val="00710304"/>
    <w:rsid w:val="007124BE"/>
    <w:rsid w:val="00713E8C"/>
    <w:rsid w:val="007265BF"/>
    <w:rsid w:val="00736A52"/>
    <w:rsid w:val="00737998"/>
    <w:rsid w:val="00742CDB"/>
    <w:rsid w:val="007511F0"/>
    <w:rsid w:val="0075162B"/>
    <w:rsid w:val="0076241B"/>
    <w:rsid w:val="007654A6"/>
    <w:rsid w:val="00770C77"/>
    <w:rsid w:val="007725C1"/>
    <w:rsid w:val="00776102"/>
    <w:rsid w:val="00790F54"/>
    <w:rsid w:val="00792494"/>
    <w:rsid w:val="00796E01"/>
    <w:rsid w:val="007B04BF"/>
    <w:rsid w:val="007B7325"/>
    <w:rsid w:val="007D0E07"/>
    <w:rsid w:val="007D494A"/>
    <w:rsid w:val="007D7957"/>
    <w:rsid w:val="007F3AF7"/>
    <w:rsid w:val="007F4772"/>
    <w:rsid w:val="00807B45"/>
    <w:rsid w:val="00810A27"/>
    <w:rsid w:val="008138D4"/>
    <w:rsid w:val="008201EF"/>
    <w:rsid w:val="008210E9"/>
    <w:rsid w:val="0082248B"/>
    <w:rsid w:val="00841EA6"/>
    <w:rsid w:val="00851400"/>
    <w:rsid w:val="00852F4A"/>
    <w:rsid w:val="008572A8"/>
    <w:rsid w:val="00857529"/>
    <w:rsid w:val="00862D50"/>
    <w:rsid w:val="008631D6"/>
    <w:rsid w:val="0086360A"/>
    <w:rsid w:val="0088061B"/>
    <w:rsid w:val="0088760E"/>
    <w:rsid w:val="00894710"/>
    <w:rsid w:val="008A0A23"/>
    <w:rsid w:val="008B0778"/>
    <w:rsid w:val="008B4BC4"/>
    <w:rsid w:val="008B6160"/>
    <w:rsid w:val="008C3538"/>
    <w:rsid w:val="008C541A"/>
    <w:rsid w:val="008D1521"/>
    <w:rsid w:val="008D1D6B"/>
    <w:rsid w:val="008D6E16"/>
    <w:rsid w:val="008E146E"/>
    <w:rsid w:val="00901592"/>
    <w:rsid w:val="00903A89"/>
    <w:rsid w:val="00903D14"/>
    <w:rsid w:val="00912255"/>
    <w:rsid w:val="00914E95"/>
    <w:rsid w:val="009221A9"/>
    <w:rsid w:val="00923F4F"/>
    <w:rsid w:val="00931332"/>
    <w:rsid w:val="00933886"/>
    <w:rsid w:val="009424EA"/>
    <w:rsid w:val="00943AA6"/>
    <w:rsid w:val="009446F5"/>
    <w:rsid w:val="0098324B"/>
    <w:rsid w:val="00990AD0"/>
    <w:rsid w:val="00990CB9"/>
    <w:rsid w:val="009A1467"/>
    <w:rsid w:val="009A55E1"/>
    <w:rsid w:val="009B332E"/>
    <w:rsid w:val="009B5744"/>
    <w:rsid w:val="009B7200"/>
    <w:rsid w:val="009C5B74"/>
    <w:rsid w:val="009D0FD8"/>
    <w:rsid w:val="009D3E81"/>
    <w:rsid w:val="009F417F"/>
    <w:rsid w:val="009F61B8"/>
    <w:rsid w:val="00A01A0A"/>
    <w:rsid w:val="00A01FD8"/>
    <w:rsid w:val="00A20CDB"/>
    <w:rsid w:val="00A24177"/>
    <w:rsid w:val="00A26D8B"/>
    <w:rsid w:val="00A416FD"/>
    <w:rsid w:val="00A462B7"/>
    <w:rsid w:val="00A61FB0"/>
    <w:rsid w:val="00A81AC5"/>
    <w:rsid w:val="00A84A29"/>
    <w:rsid w:val="00A92485"/>
    <w:rsid w:val="00A964AF"/>
    <w:rsid w:val="00AA2373"/>
    <w:rsid w:val="00AC4EC1"/>
    <w:rsid w:val="00AC5000"/>
    <w:rsid w:val="00AD1651"/>
    <w:rsid w:val="00AD3B51"/>
    <w:rsid w:val="00AE08A4"/>
    <w:rsid w:val="00AE2FCC"/>
    <w:rsid w:val="00B01687"/>
    <w:rsid w:val="00B11B04"/>
    <w:rsid w:val="00B14876"/>
    <w:rsid w:val="00B24D2B"/>
    <w:rsid w:val="00B273E4"/>
    <w:rsid w:val="00B32967"/>
    <w:rsid w:val="00B53D20"/>
    <w:rsid w:val="00B5641F"/>
    <w:rsid w:val="00B63E9F"/>
    <w:rsid w:val="00B7047D"/>
    <w:rsid w:val="00B70815"/>
    <w:rsid w:val="00B7297E"/>
    <w:rsid w:val="00B801F5"/>
    <w:rsid w:val="00B82115"/>
    <w:rsid w:val="00B83A37"/>
    <w:rsid w:val="00B9347E"/>
    <w:rsid w:val="00BC3186"/>
    <w:rsid w:val="00BC4CA5"/>
    <w:rsid w:val="00BD0CF2"/>
    <w:rsid w:val="00BD691B"/>
    <w:rsid w:val="00BD740C"/>
    <w:rsid w:val="00BF0CD5"/>
    <w:rsid w:val="00BF3225"/>
    <w:rsid w:val="00BF5FA4"/>
    <w:rsid w:val="00BF6742"/>
    <w:rsid w:val="00C01888"/>
    <w:rsid w:val="00C01F7A"/>
    <w:rsid w:val="00C02EC0"/>
    <w:rsid w:val="00C101BC"/>
    <w:rsid w:val="00C109C1"/>
    <w:rsid w:val="00C14EFA"/>
    <w:rsid w:val="00C15FF9"/>
    <w:rsid w:val="00C3309B"/>
    <w:rsid w:val="00C3389C"/>
    <w:rsid w:val="00C4160D"/>
    <w:rsid w:val="00C46164"/>
    <w:rsid w:val="00C60387"/>
    <w:rsid w:val="00C63571"/>
    <w:rsid w:val="00C73D61"/>
    <w:rsid w:val="00C8000A"/>
    <w:rsid w:val="00C8215E"/>
    <w:rsid w:val="00CA094B"/>
    <w:rsid w:val="00CA2B56"/>
    <w:rsid w:val="00CC07F2"/>
    <w:rsid w:val="00CC080C"/>
    <w:rsid w:val="00CC3529"/>
    <w:rsid w:val="00CC3D8B"/>
    <w:rsid w:val="00CD2C2F"/>
    <w:rsid w:val="00CE1E56"/>
    <w:rsid w:val="00CE4BA8"/>
    <w:rsid w:val="00CE7C84"/>
    <w:rsid w:val="00D008AB"/>
    <w:rsid w:val="00D03BB6"/>
    <w:rsid w:val="00D07EA4"/>
    <w:rsid w:val="00D12B3F"/>
    <w:rsid w:val="00D136D0"/>
    <w:rsid w:val="00D14D00"/>
    <w:rsid w:val="00D15CD8"/>
    <w:rsid w:val="00D3212F"/>
    <w:rsid w:val="00D37804"/>
    <w:rsid w:val="00D40090"/>
    <w:rsid w:val="00D559DC"/>
    <w:rsid w:val="00D62CF6"/>
    <w:rsid w:val="00D73111"/>
    <w:rsid w:val="00D82625"/>
    <w:rsid w:val="00D90719"/>
    <w:rsid w:val="00D96110"/>
    <w:rsid w:val="00DA519D"/>
    <w:rsid w:val="00DA65D9"/>
    <w:rsid w:val="00DC2E7A"/>
    <w:rsid w:val="00DC35B4"/>
    <w:rsid w:val="00DE255B"/>
    <w:rsid w:val="00DF172F"/>
    <w:rsid w:val="00DF2807"/>
    <w:rsid w:val="00DF4AFF"/>
    <w:rsid w:val="00E00DE5"/>
    <w:rsid w:val="00E01F84"/>
    <w:rsid w:val="00E05EA7"/>
    <w:rsid w:val="00E07235"/>
    <w:rsid w:val="00E21A24"/>
    <w:rsid w:val="00E24327"/>
    <w:rsid w:val="00E269E8"/>
    <w:rsid w:val="00E27221"/>
    <w:rsid w:val="00E272E0"/>
    <w:rsid w:val="00E30F1B"/>
    <w:rsid w:val="00E31683"/>
    <w:rsid w:val="00E334E7"/>
    <w:rsid w:val="00E40AFC"/>
    <w:rsid w:val="00E41405"/>
    <w:rsid w:val="00E539D8"/>
    <w:rsid w:val="00E64A2C"/>
    <w:rsid w:val="00E67850"/>
    <w:rsid w:val="00E93797"/>
    <w:rsid w:val="00E93BD9"/>
    <w:rsid w:val="00E9411E"/>
    <w:rsid w:val="00E972BA"/>
    <w:rsid w:val="00EA005F"/>
    <w:rsid w:val="00EA0C16"/>
    <w:rsid w:val="00EB2387"/>
    <w:rsid w:val="00EB42E9"/>
    <w:rsid w:val="00EB5E12"/>
    <w:rsid w:val="00EC15DE"/>
    <w:rsid w:val="00EC5403"/>
    <w:rsid w:val="00EC6EA2"/>
    <w:rsid w:val="00EF4C3C"/>
    <w:rsid w:val="00F0180A"/>
    <w:rsid w:val="00F054F5"/>
    <w:rsid w:val="00F103CC"/>
    <w:rsid w:val="00F1302F"/>
    <w:rsid w:val="00F207D5"/>
    <w:rsid w:val="00F24AD8"/>
    <w:rsid w:val="00F26F1E"/>
    <w:rsid w:val="00F31209"/>
    <w:rsid w:val="00F407E7"/>
    <w:rsid w:val="00F4540A"/>
    <w:rsid w:val="00F50ABD"/>
    <w:rsid w:val="00F513C3"/>
    <w:rsid w:val="00F70C2A"/>
    <w:rsid w:val="00F86A6F"/>
    <w:rsid w:val="00FA34A0"/>
    <w:rsid w:val="00FC1C85"/>
    <w:rsid w:val="00FC6764"/>
    <w:rsid w:val="00FC7F1B"/>
    <w:rsid w:val="00FE1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DBF"/>
    <w:pPr>
      <w:jc w:val="center"/>
    </w:pPr>
    <w:rPr>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fxFaxNum">
    <w:name w:val="WfxFaxNum"/>
    <w:basedOn w:val="Normale"/>
    <w:rsid w:val="001B0DBF"/>
  </w:style>
  <w:style w:type="paragraph" w:customStyle="1" w:styleId="WfxTime">
    <w:name w:val="WfxTime"/>
    <w:basedOn w:val="Normale"/>
    <w:rsid w:val="001B0DBF"/>
  </w:style>
  <w:style w:type="paragraph" w:customStyle="1" w:styleId="WfxDate">
    <w:name w:val="WfxDate"/>
    <w:basedOn w:val="Normale"/>
    <w:rsid w:val="001B0DBF"/>
  </w:style>
  <w:style w:type="paragraph" w:customStyle="1" w:styleId="WfxRecipient">
    <w:name w:val="WfxRecipient"/>
    <w:basedOn w:val="Normale"/>
    <w:rsid w:val="001B0DBF"/>
  </w:style>
  <w:style w:type="paragraph" w:customStyle="1" w:styleId="WfxCompany">
    <w:name w:val="WfxCompany"/>
    <w:basedOn w:val="Normale"/>
    <w:rsid w:val="001B0DBF"/>
  </w:style>
  <w:style w:type="paragraph" w:customStyle="1" w:styleId="WfxSubject">
    <w:name w:val="WfxSubject"/>
    <w:basedOn w:val="Normale"/>
    <w:rsid w:val="001B0DBF"/>
  </w:style>
  <w:style w:type="paragraph" w:customStyle="1" w:styleId="WfxKeyword">
    <w:name w:val="WfxKeyword"/>
    <w:basedOn w:val="Normale"/>
    <w:rsid w:val="001B0DBF"/>
  </w:style>
  <w:style w:type="paragraph" w:customStyle="1" w:styleId="WfxBillCode">
    <w:name w:val="WfxBillCode"/>
    <w:basedOn w:val="Normale"/>
    <w:rsid w:val="001B0DBF"/>
  </w:style>
  <w:style w:type="paragraph" w:customStyle="1" w:styleId="Stile1">
    <w:name w:val="Stile1"/>
    <w:rsid w:val="00696F53"/>
    <w:pPr>
      <w:tabs>
        <w:tab w:val="right" w:pos="9355"/>
      </w:tabs>
    </w:pPr>
    <w:rPr>
      <w:sz w:val="16"/>
      <w:szCs w:val="16"/>
      <w:lang w:val="it-IT" w:eastAsia="it-IT"/>
    </w:rPr>
  </w:style>
  <w:style w:type="paragraph" w:styleId="Testofumetto">
    <w:name w:val="Balloon Text"/>
    <w:basedOn w:val="Normale"/>
    <w:link w:val="TestofumettoCarattere"/>
    <w:uiPriority w:val="99"/>
    <w:semiHidden/>
    <w:unhideWhenUsed/>
    <w:rsid w:val="00E00DE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0DE5"/>
    <w:rPr>
      <w:rFonts w:ascii="Tahoma" w:hAnsi="Tahoma" w:cs="Tahoma"/>
      <w:sz w:val="16"/>
      <w:szCs w:val="16"/>
      <w:lang w:val="it-IT" w:eastAsia="it-IT"/>
    </w:rPr>
  </w:style>
  <w:style w:type="paragraph" w:customStyle="1" w:styleId="Default">
    <w:name w:val="Default"/>
    <w:rsid w:val="00E00DE5"/>
    <w:pPr>
      <w:autoSpaceDE w:val="0"/>
      <w:autoSpaceDN w:val="0"/>
      <w:adjustRightInd w:val="0"/>
      <w:spacing w:before="0" w:beforeAutospacing="0" w:after="0" w:afterAutospacing="0"/>
    </w:pPr>
    <w:rPr>
      <w:rFonts w:ascii="Arial" w:hAnsi="Arial" w:cs="Arial"/>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DBF"/>
    <w:pPr>
      <w:jc w:val="center"/>
    </w:pPr>
    <w:rPr>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fxFaxNum">
    <w:name w:val="WfxFaxNum"/>
    <w:basedOn w:val="Normale"/>
    <w:rsid w:val="001B0DBF"/>
  </w:style>
  <w:style w:type="paragraph" w:customStyle="1" w:styleId="WfxTime">
    <w:name w:val="WfxTime"/>
    <w:basedOn w:val="Normale"/>
    <w:rsid w:val="001B0DBF"/>
  </w:style>
  <w:style w:type="paragraph" w:customStyle="1" w:styleId="WfxDate">
    <w:name w:val="WfxDate"/>
    <w:basedOn w:val="Normale"/>
    <w:rsid w:val="001B0DBF"/>
  </w:style>
  <w:style w:type="paragraph" w:customStyle="1" w:styleId="WfxRecipient">
    <w:name w:val="WfxRecipient"/>
    <w:basedOn w:val="Normale"/>
    <w:rsid w:val="001B0DBF"/>
  </w:style>
  <w:style w:type="paragraph" w:customStyle="1" w:styleId="WfxCompany">
    <w:name w:val="WfxCompany"/>
    <w:basedOn w:val="Normale"/>
    <w:rsid w:val="001B0DBF"/>
  </w:style>
  <w:style w:type="paragraph" w:customStyle="1" w:styleId="WfxSubject">
    <w:name w:val="WfxSubject"/>
    <w:basedOn w:val="Normale"/>
    <w:rsid w:val="001B0DBF"/>
  </w:style>
  <w:style w:type="paragraph" w:customStyle="1" w:styleId="WfxKeyword">
    <w:name w:val="WfxKeyword"/>
    <w:basedOn w:val="Normale"/>
    <w:rsid w:val="001B0DBF"/>
  </w:style>
  <w:style w:type="paragraph" w:customStyle="1" w:styleId="WfxBillCode">
    <w:name w:val="WfxBillCode"/>
    <w:basedOn w:val="Normale"/>
    <w:rsid w:val="001B0DBF"/>
  </w:style>
  <w:style w:type="paragraph" w:customStyle="1" w:styleId="Stile1">
    <w:name w:val="Stile1"/>
    <w:rsid w:val="00696F53"/>
    <w:pPr>
      <w:tabs>
        <w:tab w:val="right" w:pos="9355"/>
      </w:tabs>
    </w:pPr>
    <w:rPr>
      <w:sz w:val="16"/>
      <w:szCs w:val="16"/>
      <w:lang w:val="it-IT" w:eastAsia="it-IT"/>
    </w:rPr>
  </w:style>
  <w:style w:type="paragraph" w:styleId="Testofumetto">
    <w:name w:val="Balloon Text"/>
    <w:basedOn w:val="Normale"/>
    <w:link w:val="TestofumettoCarattere"/>
    <w:uiPriority w:val="99"/>
    <w:semiHidden/>
    <w:unhideWhenUsed/>
    <w:rsid w:val="00E00DE5"/>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0DE5"/>
    <w:rPr>
      <w:rFonts w:ascii="Tahoma" w:hAnsi="Tahoma" w:cs="Tahoma"/>
      <w:sz w:val="16"/>
      <w:szCs w:val="16"/>
      <w:lang w:val="it-IT" w:eastAsia="it-IT"/>
    </w:rPr>
  </w:style>
  <w:style w:type="paragraph" w:customStyle="1" w:styleId="Default">
    <w:name w:val="Default"/>
    <w:rsid w:val="00E00DE5"/>
    <w:pPr>
      <w:autoSpaceDE w:val="0"/>
      <w:autoSpaceDN w:val="0"/>
      <w:adjustRightInd w:val="0"/>
      <w:spacing w:before="0" w:beforeAutospacing="0" w:after="0" w:afterAutospacing="0"/>
    </w:pPr>
    <w:rPr>
      <w:rFonts w:ascii="Arial" w:hAnsi="Arial" w:cs="Arial"/>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Stefano Treu DGSA</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2012-09-03T07:42:00Z</dcterms:created>
  <dcterms:modified xsi:type="dcterms:W3CDTF">2012-09-03T07:44:00Z</dcterms:modified>
</cp:coreProperties>
</file>